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"/>
        <w:gridCol w:w="10849"/>
      </w:tblGrid>
      <w:tr w:rsidR="00551E27" w:rsidTr="00096C06">
        <w:trPr>
          <w:gridBefore w:val="1"/>
          <w:wBefore w:w="136" w:type="dxa"/>
          <w:trHeight w:val="15476"/>
        </w:trPr>
        <w:tc>
          <w:tcPr>
            <w:tcW w:w="10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7" w:rsidRDefault="00551E27" w:rsidP="00096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1</w:t>
            </w:r>
            <w:r w:rsidR="00611CE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551E27" w:rsidRDefault="00551E27" w:rsidP="00096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15 октября 2019 года</w:t>
            </w:r>
          </w:p>
          <w:p w:rsidR="00551E27" w:rsidRDefault="00551E27" w:rsidP="00096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551E27" w:rsidRDefault="00551E27" w:rsidP="00096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Памятка Минтруда России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551E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Закрепление обязанностей работников организации, связанных с предупреждением коррупции, ответственность и стимулирование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51E27" w:rsidRDefault="00551E27" w:rsidP="00096C06">
            <w:pPr>
              <w:pStyle w:val="ConsPlusTitle"/>
              <w:spacing w:line="276" w:lineRule="auto"/>
              <w:ind w:left="116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Обязанность соблюдать положения утвержденной антикоррупционной политики и локальных нормативных актов организации в сфере предупреждения коррупции рекомендуется включить в трудовые договора всех работников организации.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Исходя их положений </w:t>
            </w:r>
            <w:hyperlink r:id="rId4" w:history="1">
              <w:r w:rsidRPr="00551E2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статьи 57</w:t>
              </w:r>
            </w:hyperlink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Трудового кодекса Российской Федерации по соглашению сторон в трудовой договор могут также включаться права и обязанности работника и работодателя, установленные трудовым законодательством и иными нормативными правовыми актами, содержащими нормы трудового права, локальными нормативными актами, а также права и обязанности работника и работодателя, вытекающие из условий коллективного договора, соглашений.</w:t>
            </w:r>
            <w:proofErr w:type="gramEnd"/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этой связи, как общие, так и специальные обязанности рекомендуется включить в трудовой договор с работником организации. При условии закрепления обязанностей работника в связи с предупреждением коррупции в трудовом договоре работодатель вправе применить к работнику меры дисциплинарного взыскания, включая увольнение, при наличии оснований, предусмотренных Трудовым </w:t>
            </w:r>
            <w:hyperlink r:id="rId5" w:history="1">
              <w:r w:rsidRPr="00551E2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кодексом</w:t>
              </w:r>
            </w:hyperlink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за совершения неправомерных действий, повлекших неисполнение возложенных на него трудовых обязанностей.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При этом необходимо исключить возможность двойного толкования, при котором на отдельных работников такие обязанности не распространяются. Вместе с тем допускается ситуация, при которой на работников, замещающих должности, связанные с высоким коррупционным риском, возлагается больше антикоррупционных стандартов, например, представления декларации о конфликте интересов.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Утверждаемая </w:t>
            </w:r>
            <w:proofErr w:type="spellStart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антикоррупционная</w:t>
            </w:r>
            <w:proofErr w:type="spellEnd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политика организации и локальные нормативные акты организации в сфере предупреждения коррупции, а также возлагаемые в связи с этим на работников </w:t>
            </w:r>
            <w:proofErr w:type="spellStart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антикоррупционные</w:t>
            </w:r>
            <w:proofErr w:type="spellEnd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стандарты должны соответствовать закрепленным в </w:t>
            </w:r>
            <w:hyperlink r:id="rId6" w:history="1">
              <w:r w:rsidRPr="00551E2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Конституции</w:t>
              </w:r>
            </w:hyperlink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 правам и законным интересам работников, в частности, праву на неприкосновенность частной жизни, личную и семейную тайну, а также учитывать, что права и свободы человека и гражданина могут быть ограничены</w:t>
            </w:r>
            <w:proofErr w:type="gramEnd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только федеральным законом.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При применении мер юридической ответственности к работникам, нарушившим положения трудового договора в части соблюдения антикоррупционной политики, также необходимо учитывать следующие основные принципы: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адекватность и соразмерность: санкции не должны быть чрезмерно "мягкими" или чрезмерно "жесткими";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применимость: санкции рано или поздно должны быть применены на практике;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контроль: санкции должны применяться на основании результатов контрольных мероприятий.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При этом нецелесообразно выстраивать антикоррупционную политику организации исключительно на санкциях. Организациям рекомендуется предусмотреть также меры стимулирования. Стимулы позволяют мотивировать работников придерживаться установленных в организации антикоррупционных стандартов.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 наличии ресурсных возможностей организация может также выстроить систему стимулирования, направленную на соблюдение деловыми партнерами антикоррупционных стандартов.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В целях поощрения работников могут быть предусмотрены как материальные стимулы, так и нематериальные или их совокупность.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Материальное стимулирование может предусматривать повышение заработной платы, премии, повышение в должности, подарки и пр.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Нематериальное стимулирование - грамоты, личное одобрение со стороны руководства и коллег, доступ проявивших себя работников к различным внутрикорпоративным наградам (например, программы обучения).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При этом система стимулирования работников организации за соблюдение антикоррупционных стандартов может являться составным элементом общей политики стимулирования работников организации.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Вместе с тем необходимо избегать установления таких критериев оценки эффективности деятельности работников организации, которые могут направлять их на совершение коррупционного правонарушения или на несоблюдение установленных в организации процедур (например, критерием материального стимулирования является показатель по затраченному времени на заключение договора, такой критерий может привести к тому, что работник организации может пренебречь внутренними процедурами, направленными на контроль делового партнера, в целях</w:t>
            </w:r>
            <w:proofErr w:type="gramEnd"/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дальнейшего получения материального стимула).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Также необходимо учитывать следующие принципы стимулирования: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соразмерность: вознаграждение должно соответствовать приложенным сотрудником усилиям;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вознаграждение за ожидаемое поведение: практика свидетельствует о том, что ожидаемое поведение (соблюдение антикоррупционных стандартов) также требует стимулирования;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достижимость: необходимо устанавливать такие критерии стимулирования, которые возможно достигнуть;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объективность: рекомендуется избегать критериев, носящих субъективный характер, или методика расчета которых непонятна работникам;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- равенство: работники организации, независимо от специфики трудовой деятельности, должны иметь фактическую возможность получить вознаграждение.</w:t>
            </w:r>
          </w:p>
          <w:p w:rsidR="00551E27" w:rsidRP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1E27">
              <w:rPr>
                <w:rFonts w:ascii="Times New Roman" w:hAnsi="Times New Roman" w:cs="Times New Roman"/>
                <w:bCs/>
                <w:sz w:val="28"/>
                <w:szCs w:val="28"/>
              </w:rPr>
              <w:t>Кроме того, рекомендуется выстроить такую систему, которая направлена на вознаграждение и защиту работников организации, сообщивших о фактах коррупции. Указанная система должна быть направлена на исключение аспекта страха со стороны работника, который может стать препятствием на его желание уведомить руководство о коррупционном правонарушении. При этом рассматриваемая система должна быть выстроена таким образом, чтобы минимизировать злоупотребления со стороны работников организации и при этом учитывать, что такие сообщения могут быть ошибочны.</w:t>
            </w:r>
          </w:p>
          <w:p w:rsidR="00551E27" w:rsidRDefault="00551E27" w:rsidP="00551E27">
            <w:pPr>
              <w:autoSpaceDE w:val="0"/>
              <w:autoSpaceDN w:val="0"/>
              <w:adjustRightInd w:val="0"/>
              <w:spacing w:after="0" w:line="240" w:lineRule="auto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E27" w:rsidTr="00096C06">
        <w:trPr>
          <w:trHeight w:val="15830"/>
        </w:trPr>
        <w:tc>
          <w:tcPr>
            <w:tcW w:w="10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7" w:rsidRDefault="00551E27" w:rsidP="00096C06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51E27" w:rsidRDefault="00551E27" w:rsidP="00096C06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F1381" w:rsidRDefault="007F1381"/>
    <w:sectPr w:rsidR="007F1381" w:rsidSect="00551E2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51E27"/>
    <w:rsid w:val="00551E27"/>
    <w:rsid w:val="00611CE7"/>
    <w:rsid w:val="00661CB6"/>
    <w:rsid w:val="007F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1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5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76B0708DD76606DC79E99AE28F4A8DD42D9B8B46F17C62FC51E7467A9A982902F110422202928EFCBC15T8v9J" TargetMode="External"/><Relationship Id="rId5" Type="http://schemas.openxmlformats.org/officeDocument/2006/relationships/hyperlink" Target="consultantplus://offline/ref=C976B0708DD76606DC79E99AE28F4A8DD5219C8D4EAE2B60AD04E94372CAC23906B8454C3C018890FAA2158903TCvBJ" TargetMode="External"/><Relationship Id="rId4" Type="http://schemas.openxmlformats.org/officeDocument/2006/relationships/hyperlink" Target="consultantplus://offline/ref=C976B0708DD76606DC79E99AE28F4A8DD5219C8D4EAE2B60AD04E94372CAC23914B81D423A069DC4AFF8428401C8673B2CF9A6EA49T0v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924</Words>
  <Characters>5272</Characters>
  <Application>Microsoft Office Word</Application>
  <DocSecurity>0</DocSecurity>
  <Lines>43</Lines>
  <Paragraphs>12</Paragraphs>
  <ScaleCrop>false</ScaleCrop>
  <Company/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2020-04-03T09:52:00Z</cp:lastPrinted>
  <dcterms:created xsi:type="dcterms:W3CDTF">2020-04-03T09:43:00Z</dcterms:created>
  <dcterms:modified xsi:type="dcterms:W3CDTF">2020-04-03T09:53:00Z</dcterms:modified>
</cp:coreProperties>
</file>