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8F" w:rsidRDefault="005E688F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CB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CB3" w:rsidRPr="00D90CB3" w:rsidRDefault="00D90CB3" w:rsidP="00D90C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90CB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90CB3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5BE5" w:rsidRPr="00422858" w:rsidRDefault="005E688F" w:rsidP="009A5BE5">
      <w:pPr>
        <w:spacing w:after="120" w:line="240" w:lineRule="auto"/>
        <w:ind w:left="180" w:hanging="28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00</w:t>
      </w:r>
      <w:r w:rsidR="00594750" w:rsidRPr="00D90CB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.04.2025г. №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000</w:t>
      </w:r>
    </w:p>
    <w:p w:rsidR="009A5BE5" w:rsidRPr="00422858" w:rsidRDefault="009A5BE5" w:rsidP="009A5BE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858">
        <w:rPr>
          <w:rFonts w:ascii="Times New Roman" w:eastAsia="Times New Roman" w:hAnsi="Times New Roman" w:cs="Times New Roman"/>
          <w:sz w:val="26"/>
          <w:szCs w:val="26"/>
        </w:rPr>
        <w:t xml:space="preserve">       с. </w:t>
      </w:r>
      <w:proofErr w:type="spellStart"/>
      <w:r w:rsidRPr="00422858">
        <w:rPr>
          <w:rFonts w:ascii="Times New Roman" w:eastAsia="Times New Roman" w:hAnsi="Times New Roman" w:cs="Times New Roman"/>
          <w:sz w:val="26"/>
          <w:szCs w:val="26"/>
        </w:rPr>
        <w:t>Гаврильск</w:t>
      </w:r>
      <w:proofErr w:type="spellEnd"/>
    </w:p>
    <w:p w:rsidR="00EF6327" w:rsidRDefault="00EF6327" w:rsidP="00EF632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F7825" w:rsidRPr="008F7825" w:rsidRDefault="00EF6327" w:rsidP="008F7825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rStyle w:val="a4"/>
          <w:b w:val="0"/>
          <w:bCs w:val="0"/>
          <w:color w:val="000000"/>
          <w:sz w:val="26"/>
          <w:szCs w:val="26"/>
        </w:rPr>
      </w:pPr>
      <w:r w:rsidRPr="008F7825">
        <w:rPr>
          <w:rStyle w:val="a4"/>
          <w:b w:val="0"/>
          <w:color w:val="000000"/>
          <w:sz w:val="26"/>
          <w:szCs w:val="26"/>
        </w:rPr>
        <w:t>Об утверждении Положения</w:t>
      </w:r>
      <w:r w:rsidR="008F7825" w:rsidRPr="008F7825">
        <w:rPr>
          <w:b/>
          <w:color w:val="000000"/>
          <w:sz w:val="26"/>
          <w:szCs w:val="26"/>
        </w:rPr>
        <w:t xml:space="preserve"> </w:t>
      </w:r>
      <w:r w:rsidRPr="008F7825">
        <w:rPr>
          <w:rStyle w:val="a4"/>
          <w:b w:val="0"/>
          <w:color w:val="000000"/>
          <w:sz w:val="26"/>
          <w:szCs w:val="26"/>
        </w:rPr>
        <w:t>о молодёжной политике</w:t>
      </w:r>
      <w:r w:rsidR="008F7825" w:rsidRPr="008F7825">
        <w:rPr>
          <w:b/>
          <w:color w:val="000000"/>
          <w:sz w:val="26"/>
          <w:szCs w:val="26"/>
        </w:rPr>
        <w:t xml:space="preserve"> </w:t>
      </w:r>
      <w:r w:rsidRPr="008F7825">
        <w:rPr>
          <w:rStyle w:val="a4"/>
          <w:b w:val="0"/>
          <w:color w:val="000000"/>
          <w:sz w:val="26"/>
          <w:szCs w:val="26"/>
        </w:rPr>
        <w:t xml:space="preserve">в </w:t>
      </w:r>
      <w:proofErr w:type="spellStart"/>
      <w:r w:rsidR="009A5BE5" w:rsidRPr="008F7825">
        <w:rPr>
          <w:rStyle w:val="a4"/>
          <w:b w:val="0"/>
          <w:color w:val="000000"/>
          <w:sz w:val="26"/>
          <w:szCs w:val="26"/>
        </w:rPr>
        <w:t>Гаврильском</w:t>
      </w:r>
      <w:proofErr w:type="spellEnd"/>
      <w:r w:rsidR="00396046" w:rsidRPr="008F7825">
        <w:rPr>
          <w:rStyle w:val="a4"/>
          <w:b w:val="0"/>
          <w:color w:val="000000"/>
          <w:sz w:val="26"/>
          <w:szCs w:val="26"/>
        </w:rPr>
        <w:t xml:space="preserve"> сельском поселени</w:t>
      </w:r>
      <w:r w:rsidR="008F7825" w:rsidRPr="008F7825">
        <w:rPr>
          <w:rStyle w:val="a4"/>
          <w:b w:val="0"/>
          <w:color w:val="000000"/>
          <w:sz w:val="26"/>
          <w:szCs w:val="26"/>
        </w:rPr>
        <w:t>и</w:t>
      </w:r>
      <w:r w:rsidR="008F7825" w:rsidRPr="008F7825">
        <w:rPr>
          <w:b/>
          <w:color w:val="000000"/>
          <w:sz w:val="26"/>
          <w:szCs w:val="26"/>
        </w:rPr>
        <w:t xml:space="preserve"> </w:t>
      </w:r>
      <w:r w:rsidR="008F7825" w:rsidRPr="008F7825">
        <w:rPr>
          <w:rStyle w:val="a4"/>
          <w:b w:val="0"/>
          <w:color w:val="000000"/>
          <w:sz w:val="26"/>
          <w:szCs w:val="26"/>
        </w:rPr>
        <w:t>Павловского муниципаль</w:t>
      </w:r>
      <w:r w:rsidR="008F7825">
        <w:rPr>
          <w:rStyle w:val="a4"/>
          <w:b w:val="0"/>
          <w:color w:val="000000"/>
          <w:sz w:val="26"/>
          <w:szCs w:val="26"/>
        </w:rPr>
        <w:t>ного района Воронежской области</w:t>
      </w:r>
    </w:p>
    <w:p w:rsidR="00EF6327" w:rsidRPr="008F7825" w:rsidRDefault="00EF6327" w:rsidP="008F782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  <w:sz w:val="26"/>
          <w:szCs w:val="26"/>
        </w:rPr>
      </w:pP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 w:rsidR="009A5BE5">
        <w:rPr>
          <w:color w:val="000000"/>
          <w:sz w:val="26"/>
          <w:szCs w:val="26"/>
        </w:rPr>
        <w:t>Гаврильском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9A5BE5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5BE5">
        <w:rPr>
          <w:b/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proofErr w:type="spellStart"/>
      <w:r w:rsidR="009A5BE5">
        <w:rPr>
          <w:color w:val="000000"/>
          <w:sz w:val="26"/>
          <w:szCs w:val="26"/>
        </w:rPr>
        <w:t>Гаврильском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="00205687">
        <w:rPr>
          <w:color w:val="000000"/>
          <w:sz w:val="26"/>
          <w:szCs w:val="26"/>
        </w:rPr>
        <w:t xml:space="preserve">Павловского муниципального района Воронежской области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Pr="00E05B2A">
        <w:rPr>
          <w:color w:val="000000"/>
          <w:sz w:val="26"/>
          <w:szCs w:val="26"/>
        </w:rPr>
        <w:t xml:space="preserve">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E05B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5B2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9A5BE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9A5BE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</w:t>
      </w:r>
      <w:r w:rsidR="009A5BE5">
        <w:rPr>
          <w:rFonts w:ascii="Times New Roman" w:hAnsi="Times New Roman"/>
          <w:sz w:val="26"/>
          <w:szCs w:val="26"/>
        </w:rPr>
        <w:t>ской области</w:t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  <w:t xml:space="preserve">Л.Л. </w:t>
      </w:r>
      <w:proofErr w:type="spellStart"/>
      <w:r w:rsidR="009A5BE5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Default="0039604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 w:type="page"/>
      </w: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9A5BE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Гаврильского</w:t>
      </w:r>
      <w:proofErr w:type="spellEnd"/>
      <w:r w:rsidR="00396046"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от </w:t>
      </w:r>
      <w:r w:rsidR="005E688F">
        <w:rPr>
          <w:color w:val="000000"/>
        </w:rPr>
        <w:t>00</w:t>
      </w:r>
      <w:r w:rsidR="00390F00">
        <w:rPr>
          <w:color w:val="000000"/>
        </w:rPr>
        <w:t>.04.</w:t>
      </w:r>
      <w:r w:rsidRPr="00396046">
        <w:rPr>
          <w:color w:val="000000"/>
        </w:rPr>
        <w:t>2024</w:t>
      </w:r>
      <w:r w:rsidR="00396046">
        <w:rPr>
          <w:color w:val="000000"/>
        </w:rPr>
        <w:t>г.</w:t>
      </w:r>
      <w:r w:rsidRPr="00396046">
        <w:rPr>
          <w:color w:val="000000"/>
        </w:rPr>
        <w:t xml:space="preserve"> №</w:t>
      </w:r>
      <w:r w:rsidR="005E688F">
        <w:rPr>
          <w:color w:val="000000"/>
        </w:rPr>
        <w:t xml:space="preserve"> 000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proofErr w:type="spellStart"/>
      <w:r w:rsidR="009A5BE5">
        <w:rPr>
          <w:rStyle w:val="a4"/>
          <w:color w:val="000000"/>
          <w:sz w:val="26"/>
          <w:szCs w:val="26"/>
        </w:rPr>
        <w:t>Гаврильском</w:t>
      </w:r>
      <w:proofErr w:type="spellEnd"/>
      <w:r w:rsidR="009A5BE5">
        <w:rPr>
          <w:rStyle w:val="a4"/>
          <w:color w:val="000000"/>
          <w:sz w:val="26"/>
          <w:szCs w:val="26"/>
        </w:rPr>
        <w:t xml:space="preserve"> </w:t>
      </w:r>
      <w:r w:rsidR="00B9033D">
        <w:rPr>
          <w:rStyle w:val="a4"/>
          <w:color w:val="000000"/>
          <w:sz w:val="26"/>
          <w:szCs w:val="26"/>
        </w:rPr>
        <w:t>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</w:t>
      </w:r>
      <w:proofErr w:type="gramStart"/>
      <w:r w:rsidR="00EF6327" w:rsidRPr="00396046">
        <w:rPr>
          <w:color w:val="000000"/>
          <w:sz w:val="26"/>
          <w:szCs w:val="26"/>
        </w:rPr>
        <w:t>Настоящий</w:t>
      </w:r>
      <w:proofErr w:type="gramEnd"/>
      <w:r w:rsidR="00EF6327"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</w:t>
      </w:r>
      <w:r w:rsidRPr="00396046">
        <w:rPr>
          <w:color w:val="000000"/>
          <w:sz w:val="26"/>
          <w:szCs w:val="26"/>
        </w:rPr>
        <w:lastRenderedPageBreak/>
        <w:t>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</w:t>
      </w:r>
      <w:proofErr w:type="gramStart"/>
      <w:r w:rsidRPr="00396046">
        <w:rPr>
          <w:color w:val="000000"/>
          <w:sz w:val="26"/>
          <w:szCs w:val="26"/>
        </w:rPr>
        <w:t>обучения</w:t>
      </w:r>
      <w:proofErr w:type="gramEnd"/>
      <w:r w:rsidRPr="00396046">
        <w:rPr>
          <w:color w:val="000000"/>
          <w:sz w:val="26"/>
          <w:szCs w:val="26"/>
        </w:rPr>
        <w:t xml:space="preserve">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</w:t>
      </w:r>
      <w:r w:rsidRPr="00396046">
        <w:rPr>
          <w:color w:val="000000"/>
          <w:sz w:val="26"/>
          <w:szCs w:val="26"/>
        </w:rPr>
        <w:lastRenderedPageBreak/>
        <w:t>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4. Цели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="00EF6327"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3. </w:t>
      </w:r>
      <w:proofErr w:type="gramStart"/>
      <w:r w:rsidR="00EF6327" w:rsidRPr="00396046">
        <w:rPr>
          <w:color w:val="000000"/>
          <w:sz w:val="26"/>
          <w:szCs w:val="26"/>
        </w:rPr>
        <w:t>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</w:t>
      </w:r>
      <w:r w:rsidR="00EF6327" w:rsidRPr="00396046">
        <w:rPr>
          <w:color w:val="000000"/>
          <w:sz w:val="26"/>
          <w:szCs w:val="26"/>
        </w:rPr>
        <w:lastRenderedPageBreak/>
        <w:t>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="00EF6327" w:rsidRPr="00396046">
        <w:rPr>
          <w:color w:val="000000"/>
          <w:sz w:val="26"/>
          <w:szCs w:val="26"/>
        </w:rPr>
        <w:t xml:space="preserve"> </w:t>
      </w:r>
      <w:proofErr w:type="gramStart"/>
      <w:r w:rsidR="00EF6327" w:rsidRPr="00396046">
        <w:rPr>
          <w:color w:val="000000"/>
          <w:sz w:val="26"/>
          <w:szCs w:val="26"/>
        </w:rPr>
        <w:t>установлении</w:t>
      </w:r>
      <w:proofErr w:type="gramEnd"/>
      <w:r w:rsidR="00EF6327" w:rsidRPr="00396046">
        <w:rPr>
          <w:color w:val="000000"/>
          <w:sz w:val="26"/>
          <w:szCs w:val="26"/>
        </w:rPr>
        <w:t xml:space="preserve"> мер поддержки отдельным категориям 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</w:t>
      </w:r>
      <w:proofErr w:type="gramStart"/>
      <w:r w:rsidR="00EF6327" w:rsidRPr="00396046">
        <w:rPr>
          <w:color w:val="000000"/>
          <w:sz w:val="26"/>
          <w:szCs w:val="26"/>
        </w:rPr>
        <w:t>ств в сф</w:t>
      </w:r>
      <w:proofErr w:type="gramEnd"/>
      <w:r w:rsidR="00EF6327" w:rsidRPr="00396046">
        <w:rPr>
          <w:color w:val="000000"/>
          <w:sz w:val="26"/>
          <w:szCs w:val="26"/>
        </w:rPr>
        <w:t>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="00EF6327"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</w:t>
      </w:r>
      <w:proofErr w:type="gramStart"/>
      <w:r w:rsidR="00EF6327" w:rsidRPr="00396046">
        <w:rPr>
          <w:color w:val="000000"/>
          <w:sz w:val="26"/>
          <w:szCs w:val="26"/>
        </w:rPr>
        <w:t>осуществляется</w:t>
      </w:r>
      <w:proofErr w:type="gramEnd"/>
      <w:r w:rsidR="00EF6327" w:rsidRPr="00396046">
        <w:rPr>
          <w:color w:val="000000"/>
          <w:sz w:val="26"/>
          <w:szCs w:val="26"/>
        </w:rPr>
        <w:t xml:space="preserve">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9A5BE5" w:rsidRPr="00EE75B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9A5BE5" w:rsidRPr="00EE75B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7"/>
    <w:rsid w:val="000F1DD8"/>
    <w:rsid w:val="00205687"/>
    <w:rsid w:val="002546A7"/>
    <w:rsid w:val="00390F00"/>
    <w:rsid w:val="00396046"/>
    <w:rsid w:val="003C50F6"/>
    <w:rsid w:val="003D2CBE"/>
    <w:rsid w:val="00594750"/>
    <w:rsid w:val="005C3277"/>
    <w:rsid w:val="005E688F"/>
    <w:rsid w:val="006D3247"/>
    <w:rsid w:val="008F7825"/>
    <w:rsid w:val="00963623"/>
    <w:rsid w:val="009A5BE5"/>
    <w:rsid w:val="00A70CA6"/>
    <w:rsid w:val="00AF6C81"/>
    <w:rsid w:val="00B9033D"/>
    <w:rsid w:val="00B95E28"/>
    <w:rsid w:val="00D0036B"/>
    <w:rsid w:val="00D3600F"/>
    <w:rsid w:val="00D84855"/>
    <w:rsid w:val="00D90CB3"/>
    <w:rsid w:val="00D96E15"/>
    <w:rsid w:val="00E53C8F"/>
    <w:rsid w:val="00E76046"/>
    <w:rsid w:val="00EE75B7"/>
    <w:rsid w:val="00E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10</cp:revision>
  <dcterms:created xsi:type="dcterms:W3CDTF">2025-03-11T08:49:00Z</dcterms:created>
  <dcterms:modified xsi:type="dcterms:W3CDTF">2025-05-13T07:59:00Z</dcterms:modified>
</cp:coreProperties>
</file>